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542A" w:rsidRPr="00B2542A" w:rsidRDefault="00B2542A" w:rsidP="00B2542A">
      <w:pPr>
        <w:shd w:val="clear" w:color="auto" w:fill="FDFEFE"/>
        <w:spacing w:after="0" w:line="390" w:lineRule="atLeast"/>
        <w:jc w:val="both"/>
        <w:outlineLvl w:val="1"/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</w:pPr>
      <w:r w:rsidRPr="00B2542A">
        <w:rPr>
          <w:rFonts w:ascii="Arial" w:eastAsia="Times New Roman" w:hAnsi="Arial" w:cs="Arial"/>
          <w:b/>
          <w:bCs/>
          <w:color w:val="FF0000"/>
          <w:sz w:val="36"/>
          <w:szCs w:val="36"/>
          <w:lang w:eastAsia="ru-RU"/>
        </w:rPr>
        <w:t>Лекция 14</w:t>
      </w:r>
    </w:p>
    <w:p w:rsidR="00B2542A" w:rsidRDefault="00B2542A" w:rsidP="00B2542A">
      <w:pPr>
        <w:shd w:val="clear" w:color="auto" w:fill="FDFEFE"/>
        <w:spacing w:after="0" w:line="390" w:lineRule="atLeast"/>
        <w:jc w:val="both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</w:pPr>
    </w:p>
    <w:p w:rsidR="00B2542A" w:rsidRPr="00B2542A" w:rsidRDefault="00B2542A" w:rsidP="00B2542A">
      <w:pPr>
        <w:shd w:val="clear" w:color="auto" w:fill="FDFEFE"/>
        <w:spacing w:after="0" w:line="390" w:lineRule="atLeast"/>
        <w:jc w:val="both"/>
        <w:outlineLvl w:val="1"/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</w:pPr>
      <w:r w:rsidRPr="00B2542A">
        <w:rPr>
          <w:rFonts w:ascii="Arial" w:eastAsia="Times New Roman" w:hAnsi="Arial" w:cs="Arial"/>
          <w:b/>
          <w:bCs/>
          <w:color w:val="000000"/>
          <w:sz w:val="36"/>
          <w:szCs w:val="36"/>
          <w:lang w:eastAsia="ru-RU"/>
        </w:rPr>
        <w:t>Особенности проектирования инженерных систем футбольных стадионов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i/>
          <w:iCs/>
          <w:color w:val="000000"/>
          <w:sz w:val="26"/>
          <w:szCs w:val="26"/>
          <w:lang w:eastAsia="ru-RU"/>
        </w:rPr>
        <w:t> 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При проектировании футбольных стадионов необходимо учитывать требования, предъявляемые руководящими документами ФИФА [2], а также национальных и межгосударственных стандартов.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Требования [2] предписывают: «Приложить все необходимые усилия, чтобы стадион был оснащен ультрасовременной системой вентиляции, отопления и кондиционирования … на основе новейших «зеленых» экологических стандартов, постоянно поддерживающей климат-контроль во внутренних помещениях стадиона».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Современный стадион — это многофункциональный спортивный комплекс (МСК), обеспечивающий: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  проведение спортивных соревнований, в том числе международных мирового уровня (режим «ЧМ»);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  проведение спортивно-оздоровительных и культурно-зрелищных мероприятий (режим «Наследие»).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Технологические требования к инженерным системам МСК включают: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спортивную технологию;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вспомогательную технологию;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медицинскую технологию;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технологию общепита;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технологию безопасности;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технологию связи и коммуникаций;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санитарно-гигиенические условия;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— многофункциональность и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многорежимность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инженерных систем.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Требования технологии определяют следующие условия проектирования инженерных систем:</w:t>
      </w:r>
    </w:p>
    <w:p w:rsidR="00B2542A" w:rsidRPr="00B2542A" w:rsidRDefault="00B2542A" w:rsidP="00B2542A">
      <w:pPr>
        <w:numPr>
          <w:ilvl w:val="0"/>
          <w:numId w:val="1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Инженерные системы должны отвечать критериям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энергоэффективного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здания, функционально сочетающего архитектурно-планировочные приемы энергосбережения, высокий уровень теплозащиты наружных ограждений с современными инженерно-технологическими решениями.</w:t>
      </w:r>
    </w:p>
    <w:p w:rsidR="00B2542A" w:rsidRPr="00B2542A" w:rsidRDefault="00B2542A" w:rsidP="00B2542A">
      <w:pPr>
        <w:numPr>
          <w:ilvl w:val="0"/>
          <w:numId w:val="1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Инженерные системы должны быть многозональными, малоинерционными с большой глубиной регулирования.</w:t>
      </w:r>
    </w:p>
    <w:p w:rsidR="00B2542A" w:rsidRPr="00B2542A" w:rsidRDefault="00B2542A" w:rsidP="00B2542A">
      <w:pPr>
        <w:numPr>
          <w:ilvl w:val="0"/>
          <w:numId w:val="1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Для специальных зон должны предусматриваться системы полного кондиционирования микроклимата с контролем и регулированием температуры, влажности, чистоты и подвижности воздуха, радиационной температуры.</w:t>
      </w:r>
    </w:p>
    <w:p w:rsidR="00B2542A" w:rsidRPr="00B2542A" w:rsidRDefault="00B2542A" w:rsidP="00B2542A">
      <w:pPr>
        <w:numPr>
          <w:ilvl w:val="0"/>
          <w:numId w:val="1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Инженерные коммуникации и оборудование (трубопроводы, воздуховоды, воздухораспределители и т. п.), особенно в изменяемых </w:t>
      </w: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пространствах, должны быть конструктивными элементами интерьеров, не препятствующими объемно-планировочным трансформациям.</w:t>
      </w:r>
    </w:p>
    <w:p w:rsidR="00B2542A" w:rsidRPr="00B2542A" w:rsidRDefault="00B2542A" w:rsidP="00B2542A">
      <w:pPr>
        <w:numPr>
          <w:ilvl w:val="0"/>
          <w:numId w:val="1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Энергетический центр МСК должен формироваться по алгоритму многорежимного функционирования всего комплекса энергопотребляющих систем с учетом взаимного влияния (одновременная выработка тепловой энергии и холода), возможностей аккумулирования энергии для покрытия пиковых нагрузок.</w:t>
      </w:r>
    </w:p>
    <w:p w:rsidR="00B2542A" w:rsidRPr="00B2542A" w:rsidRDefault="00B2542A" w:rsidP="00B2542A">
      <w:pPr>
        <w:numPr>
          <w:ilvl w:val="0"/>
          <w:numId w:val="2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В ряде случаев при дефиците централизованного энергоснабжения целесообразно использование автономных автоматизированных источников </w:t>
      </w:r>
      <w:proofErr w:type="gram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теплоснабжения  или</w:t>
      </w:r>
      <w:proofErr w:type="gram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когенерационных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установок.</w:t>
      </w:r>
    </w:p>
    <w:p w:rsidR="00B2542A" w:rsidRPr="00B2542A" w:rsidRDefault="00B2542A" w:rsidP="00B2542A">
      <w:pPr>
        <w:numPr>
          <w:ilvl w:val="0"/>
          <w:numId w:val="3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МСК как наиболее сложные инженерно-технологические объекты должны обеспечиваться автоматическим управлением и соответствовать современным критериям интеллектуального здания.</w:t>
      </w:r>
    </w:p>
    <w:p w:rsidR="00B2542A" w:rsidRPr="00B2542A" w:rsidRDefault="00B2542A" w:rsidP="00B2542A">
      <w:pPr>
        <w:numPr>
          <w:ilvl w:val="0"/>
          <w:numId w:val="3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Требования к повышенной надежности применительно к инженерному обеспечению реализуются резервированием наиболее ответственных элементов систем и оборудования (теплообменники, насосы, вентиляторы, ВРУ, дизель-генераторы и т. п.), а также применением высококачественных, долговечных инженерных элементов с высокой степенью ремонтопригодности.</w:t>
      </w:r>
    </w:p>
    <w:p w:rsidR="00B2542A" w:rsidRPr="00B2542A" w:rsidRDefault="00B2542A" w:rsidP="00B2542A">
      <w:pPr>
        <w:numPr>
          <w:ilvl w:val="0"/>
          <w:numId w:val="3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Реализация требований высокой безопасности МСК в части инженерных систем связана не только с устройством специальных систем пожаротушения и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дымоудаления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, но и защитными антитеррористическими мероприятиями, системами охраны и доступа различного зонального уровня ответственности.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Стадионы должны быть сертифицированы по рейтингам «зеленого строительства» (LEED или BREEAM).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Для успешной сертификации следует придерживаться следующих принципов: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использовать возобновляемые источники энергии (фотоэлектрические преобразователи, тепловые насосы и пр.);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— применять автоматические системы экономии воды (разделение технического и питьевого водоснабжения, сантехнические приборы «двойного смыва», поддержание оптимального гидравлического режима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повысительных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насосов, водооборотные системы, сбор, подготовка и использование дождевой и талой воды);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оптимизация электроснабжения (высокоэффективные трансформаторы с принудительным охлаждением, энергосберегающие лампы нового поколения и пр.);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 xml:space="preserve">—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энергоэффективные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системы отопления, вентиляции и кондиционирования воздуха (использование оборудования высокого класса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энергоэффективности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— А, утилизация вторичного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низкопотенциального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тепла,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погодозависимая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автоматика, количественно-качественное регулирование и пр.);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—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шумозащитные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мероприятия (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шумоизоляционные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экраны, снижение шума от инженерных систем и технологического оборудования и пр.);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утилизация отходов с максимальным вторичным использованием;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экологические требования к применяемым строительным материалам и оборудованию (обеспечение ПДК выбросов и пр.).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Минимальный уровень баллов в рейтинге LEED должен составлять 40÷49.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Стадионы необходимо оснащать системами безопасности, в том числе обеспечиваемыми средствами вентиляции:</w:t>
      </w:r>
    </w:p>
    <w:p w:rsidR="00B2542A" w:rsidRPr="00B2542A" w:rsidRDefault="00B2542A" w:rsidP="00B2542A">
      <w:pPr>
        <w:numPr>
          <w:ilvl w:val="0"/>
          <w:numId w:val="4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Удаление продуктов горения из конференц-залов, ложи VVIP и коридоров, с компенсацией приточным воздухом (не менее 70%).</w:t>
      </w:r>
    </w:p>
    <w:p w:rsidR="00B2542A" w:rsidRPr="00B2542A" w:rsidRDefault="00B2542A" w:rsidP="00B2542A">
      <w:pPr>
        <w:numPr>
          <w:ilvl w:val="0"/>
          <w:numId w:val="4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Подача воздуха приточной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противодымной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вентиляцией: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в лифтовые шахты и отдельно лифты для перевозки пожарных;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в незадымляемые лестничные клетки;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в безопасные зоны для маломобильных групп населения.</w:t>
      </w:r>
    </w:p>
    <w:p w:rsidR="00B2542A" w:rsidRPr="00B2542A" w:rsidRDefault="00B2542A" w:rsidP="00B2542A">
      <w:pPr>
        <w:numPr>
          <w:ilvl w:val="0"/>
          <w:numId w:val="5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Проверка систем кондиционирования на отсутствие в обслуживаемом помещении превышения допустимой аварийной концентрации </w:t>
      </w:r>
      <w:proofErr w:type="gram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хладона  при</w:t>
      </w:r>
      <w:proofErr w:type="gram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разгерметизации системы.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Повышенные требования предъявляются к надежности следующего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электроснабжающего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оборудования: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оборудование противопожарной защиты;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лифты;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аварийное эвакуационное освещение;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освещение поля;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—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видеотабло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оборудование для теле-радиотрансляций;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оборудование слаботочных систем (звукоусиление, система передачи данных и т. д.).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По надежности электроснабжения перечисленное оборудование относится к особой группе 1 категории надежности, с учетом дополнительного требования бесперебойности питания. Мощность оборудования, отнесенного к особой группе, составляет до 50% от общей электрической нагрузки.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 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Особая группа надежности обеспечивается дизельными электростанциями (ДГУ) и источниками бесперебойного питания (ИБП), что соответствует уровню качества 3 по классификации [2] (зарезервированная и бесперебойная система).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Инженерные системы МСК отличаются большим диапазоном изменения нагрузок, который может достигать 80%. Переменные нагрузки вызваны следующими факторами: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изменение назначения зала (спортивные соревнования, тренировки, концерт, дискотека, «простой» и т. д.);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изменение зала за счет трансформации;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изменение сезонных и суточных климатических условий.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Системы автоматизации МСК должны соответствовать следующим критериям «интеллектуального» здания: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построение общего алгоритма и программного обеспечения управления, автоматизации, контроля и диспетчеризации инженерных систем в зависимости от режимов эксплуатации, функциональной трансформации помещений, заданных параметров микроклимата по зонам;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формирование многоуровневой функционально совместимой системы микропроцессоров и контроллеров и соответствующей элементной базы всех слаботочных систем (СКС, радио, телевидение, системы охраны, доступа, видеонаблюдения, автоматизации и диспетчеризации и т. д.) с возможностью развития и адаптации к изменяющимся условиям;</w:t>
      </w:r>
    </w:p>
    <w:p w:rsidR="00B2542A" w:rsidRPr="00B2542A" w:rsidRDefault="00B2542A" w:rsidP="00B2542A">
      <w:pPr>
        <w:shd w:val="clear" w:color="auto" w:fill="FDFEFE"/>
        <w:spacing w:after="0" w:line="240" w:lineRule="auto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обеспечение функций архивирования, систематизации, анализа и приоритетной выборки массива управляющей и контрольной информации.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Учитывая значительное потребление энергоресурсов (тепловой и электрической энергии), при проектировании стадионов следует уделять особое внимание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энергоэффективности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Целесообразно применение следующих энергосберегающих решений инженерных систем:</w:t>
      </w:r>
    </w:p>
    <w:p w:rsidR="00B2542A" w:rsidRPr="00B2542A" w:rsidRDefault="00B2542A" w:rsidP="00B2542A">
      <w:pPr>
        <w:numPr>
          <w:ilvl w:val="0"/>
          <w:numId w:val="6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Применение систем с качественно-количественным регулированием, с переменным расходом воздуха (адаптивная вентиляция).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Переменный расход может обеспечиваться как за счет применения нескольких систем одного назначения, обслуживающих одно помещение, так и с использованием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вентагрегатов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с регулируемым приводом.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Системы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воздухораспределения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должны поддерживать комфортные условия во всем диапазоне изменения нагрузок; температурная стратификация должна быть минимальной; температура притока регулируется соотношением количества наружного и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рециркуляционного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воздуха.</w:t>
      </w:r>
    </w:p>
    <w:p w:rsidR="00B2542A" w:rsidRPr="00B2542A" w:rsidRDefault="00B2542A" w:rsidP="00B2542A">
      <w:pPr>
        <w:numPr>
          <w:ilvl w:val="0"/>
          <w:numId w:val="7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Учет инерционных свойств помещения при изменении режимов эксплуатации: использование «запасов» тепла (холода) и свежего воздуха, «запаздывание» перехода на новые расчетные режимы.</w:t>
      </w:r>
    </w:p>
    <w:p w:rsidR="00B2542A" w:rsidRPr="00B2542A" w:rsidRDefault="00B2542A" w:rsidP="00B2542A">
      <w:pPr>
        <w:numPr>
          <w:ilvl w:val="0"/>
          <w:numId w:val="7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Использование вторичных энергоресурсов: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утилизация тепла (холода) вытяжного воздуха;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— использование сбросного тепла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хладоцентров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(на нужды ГВС).</w:t>
      </w:r>
    </w:p>
    <w:p w:rsidR="00B2542A" w:rsidRPr="00B2542A" w:rsidRDefault="00B2542A" w:rsidP="00B2542A">
      <w:pPr>
        <w:numPr>
          <w:ilvl w:val="0"/>
          <w:numId w:val="8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Применение в системе ГВС баков-аккумуляторов: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снижение пиковых электрических нагрузок и электропотребления;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возможность использования солнечных коллекторов.</w:t>
      </w:r>
    </w:p>
    <w:p w:rsidR="00B2542A" w:rsidRPr="00B2542A" w:rsidRDefault="00B2542A" w:rsidP="00B2542A">
      <w:pPr>
        <w:numPr>
          <w:ilvl w:val="0"/>
          <w:numId w:val="9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Использование свободного охлаждения (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фрикулинг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) для выработки холода в переходный и холодный периоды года.</w:t>
      </w:r>
    </w:p>
    <w:p w:rsidR="00B2542A" w:rsidRPr="00B2542A" w:rsidRDefault="00B2542A" w:rsidP="00B2542A">
      <w:pPr>
        <w:numPr>
          <w:ilvl w:val="0"/>
          <w:numId w:val="9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Применение интеллектуальной автоматизации и диспетчеризации инженерных систем на базе алгоритма функционального управления и регулирования.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Футбольный стадион обычно разделяется на 4 трибуны или сектора, оснащаемые автономными инженерными системами (ТП, ГРЩ, ИТП, вентиляция и пр.).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Выделяется главная трибуна со следующими зонами: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зоны, связанные с соревнованиями;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VIP-трибуны;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трибуны СМИ.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Посетители стадиона делятся на следующие категории: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команды / официальные лица;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VIP / VVIP;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гостевое обслуживание;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СМИ;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персонал стадиона / волонтеры;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— обычные зрители / зрители с ограниченными возможностями.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lastRenderedPageBreak/>
        <w:t> 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Приведем в качестве примера номенклатуру представительных помещений, а также основные показатели по инженерным системам.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В табл. 1 приведены основные показатели проекта по отоплению и вентиляции.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Таблица 1.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Основные показатели проекта по отоплению и вентиляции (Калининград)</w:t>
      </w:r>
    </w:p>
    <w:tbl>
      <w:tblPr>
        <w:tblW w:w="8370" w:type="dxa"/>
        <w:tblCellSpacing w:w="0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shd w:val="clear" w:color="auto" w:fill="FDFEF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63"/>
        <w:gridCol w:w="4007"/>
      </w:tblGrid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90" w:lineRule="atLeast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ru-RU"/>
              </w:rPr>
              <w:t>Наименование показателя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90" w:lineRule="atLeast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ru-RU"/>
              </w:rPr>
            </w:pPr>
            <w:proofErr w:type="gramStart"/>
            <w:r w:rsidRPr="00B2542A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ru-RU"/>
              </w:rPr>
              <w:t>Величина  показателя</w:t>
            </w:r>
            <w:proofErr w:type="gramEnd"/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 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Общая площадь здания, м</w:t>
            </w: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vertAlign w:val="superscript"/>
                <w:lang w:eastAsia="ru-RU"/>
              </w:rPr>
              <w:t>2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112 511,7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Строительный объем, м</w:t>
            </w: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vertAlign w:val="superscript"/>
                <w:lang w:eastAsia="ru-RU"/>
              </w:rPr>
              <w:t>3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356 299,4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Отапливаемый объем здания, м</w:t>
            </w: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vertAlign w:val="superscript"/>
                <w:lang w:eastAsia="ru-RU"/>
              </w:rPr>
              <w:t>3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174 583,6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 xml:space="preserve">Расход теплоты, </w:t>
            </w:r>
            <w:proofErr w:type="spellStart"/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кВт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в</w:t>
            </w:r>
            <w:proofErr w:type="spellEnd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 xml:space="preserve"> том числе: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4205,0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на отопление:- Южная трибуна- Западная трибуна- Восточная трибуна- Северная трибуна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1441,0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302,5444,5310,0384,0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на вентиляцию:- Южная трибуна- Западная трибуна- Восточная трибуна- Северная трибуна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2764,0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477,81314,2526,0446,0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Удельная тепловая характеристика для отопления, Вт/(м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vertAlign w:val="superscript"/>
                <w:lang w:eastAsia="ru-RU"/>
              </w:rPr>
              <w:t>3 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× </w:t>
            </w:r>
            <w:proofErr w:type="spellStart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vertAlign w:val="superscript"/>
                <w:lang w:eastAsia="ru-RU"/>
              </w:rPr>
              <w:t>о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С</w:t>
            </w:r>
            <w:proofErr w:type="spellEnd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)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0,223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Расход холода, кВт- Южная трибуна- Западная трибуна- Восточная трибуна- Северная трибуна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1688,5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509,45637,95161,45379,65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 xml:space="preserve">Установленная мощность, </w:t>
            </w:r>
            <w:proofErr w:type="spellStart"/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кВт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в</w:t>
            </w:r>
            <w:proofErr w:type="spellEnd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 xml:space="preserve"> том числе: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1850,0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 xml:space="preserve">на </w:t>
            </w:r>
            <w:proofErr w:type="gramStart"/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вентиляцию: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</w:t>
            </w:r>
            <w:proofErr w:type="gramEnd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 xml:space="preserve"> Южная </w:t>
            </w:r>
            <w:proofErr w:type="spellStart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трибунаэлектрокалориферы</w:t>
            </w:r>
            <w:proofErr w:type="spellEnd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 xml:space="preserve">- Западная </w:t>
            </w:r>
            <w:proofErr w:type="spellStart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трибунаэлектрокалориферы</w:t>
            </w:r>
            <w:proofErr w:type="spellEnd"/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Восточная трибуна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proofErr w:type="spellStart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электрокалориферы</w:t>
            </w:r>
            <w:proofErr w:type="spellEnd"/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Северная трибуна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proofErr w:type="spellStart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lastRenderedPageBreak/>
              <w:t>электрокалориферы</w:t>
            </w:r>
            <w:proofErr w:type="spellEnd"/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lastRenderedPageBreak/>
              <w:t>496,4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79,927,0127,4117,6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76,0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38,4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69,1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30,0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lastRenderedPageBreak/>
              <w:t>на ВТЗ: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Южная трибуна- Западная трибуна- Восточная трибуна- Северная трибуна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798,0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156,0328,5175,5138,0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90" w:lineRule="atLeast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ru-RU"/>
              </w:rPr>
              <w:t>Наименование показателя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90" w:lineRule="atLeast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ru-RU"/>
              </w:rPr>
            </w:pPr>
            <w:proofErr w:type="gramStart"/>
            <w:r w:rsidRPr="00B2542A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ru-RU"/>
              </w:rPr>
              <w:t>Величина  показателя</w:t>
            </w:r>
            <w:proofErr w:type="gramEnd"/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 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на VRV-системы: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Южная трибуна- Западная трибуна- Восточная трибуна- Северная трибуна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555,6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178,48193,3251,25132,55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 xml:space="preserve">Установленная </w:t>
            </w:r>
            <w:proofErr w:type="spellStart"/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мощностьна</w:t>
            </w:r>
            <w:proofErr w:type="spellEnd"/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 xml:space="preserve"> противопожарные </w:t>
            </w:r>
            <w:proofErr w:type="gramStart"/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мероприятия: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</w:t>
            </w:r>
            <w:proofErr w:type="gramEnd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 xml:space="preserve"> Южная </w:t>
            </w:r>
            <w:proofErr w:type="spellStart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трибунаэлектрокалориферы</w:t>
            </w:r>
            <w:proofErr w:type="spellEnd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 xml:space="preserve"> систем ПД- Западная трибуна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proofErr w:type="spellStart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электрокалориферы</w:t>
            </w:r>
            <w:proofErr w:type="spellEnd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 xml:space="preserve"> систем ПД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Восточная трибуна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proofErr w:type="spellStart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электрокалориферы</w:t>
            </w:r>
            <w:proofErr w:type="spellEnd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 xml:space="preserve"> систем ПД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Северная трибуна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proofErr w:type="spellStart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электрокалориферы</w:t>
            </w:r>
            <w:proofErr w:type="spellEnd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 xml:space="preserve"> систем ПД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 523,8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88,88,9199,2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6,0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111,5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6,0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91,5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11,9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525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proofErr w:type="spellStart"/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Электроотопление</w:t>
            </w:r>
            <w:proofErr w:type="spellEnd"/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: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Южная трибуна- Западная трибуна- Восточная трибуна- Северная трибуна</w:t>
            </w:r>
          </w:p>
        </w:tc>
        <w:tc>
          <w:tcPr>
            <w:tcW w:w="312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vAlign w:val="center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146,5</w:t>
            </w: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40,041,035,530,0</w:t>
            </w:r>
          </w:p>
        </w:tc>
      </w:tr>
    </w:tbl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Таблица </w:t>
      </w:r>
      <w:r>
        <w:rPr>
          <w:rFonts w:ascii="Arial" w:eastAsia="Times New Roman" w:hAnsi="Arial" w:cs="Arial"/>
          <w:color w:val="000000"/>
          <w:sz w:val="26"/>
          <w:szCs w:val="26"/>
          <w:lang w:eastAsia="ru-RU"/>
        </w:rPr>
        <w:t>2</w:t>
      </w: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Основные показатели проекта по отоплению и вентиляции (Ростов-На-Дону)</w:t>
      </w:r>
    </w:p>
    <w:tbl>
      <w:tblPr>
        <w:tblW w:w="0" w:type="auto"/>
        <w:tblCellSpacing w:w="0" w:type="dxa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</w:tblBorders>
        <w:shd w:val="clear" w:color="auto" w:fill="FDFEFE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0"/>
        <w:gridCol w:w="5025"/>
      </w:tblGrid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90" w:lineRule="atLeast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ru-RU"/>
              </w:rPr>
              <w:t>Наименование показателя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90" w:lineRule="atLeast"/>
              <w:jc w:val="both"/>
              <w:outlineLvl w:val="1"/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ru-RU"/>
              </w:rPr>
            </w:pPr>
            <w:r w:rsidRPr="00B2542A">
              <w:rPr>
                <w:rFonts w:ascii="Arial" w:eastAsia="Times New Roman" w:hAnsi="Arial" w:cs="Arial"/>
                <w:b/>
                <w:bCs/>
                <w:color w:val="000000"/>
                <w:sz w:val="36"/>
                <w:szCs w:val="36"/>
                <w:lang w:eastAsia="ru-RU"/>
              </w:rPr>
              <w:t>Величина показателя</w:t>
            </w:r>
          </w:p>
          <w:p w:rsidR="00B2542A" w:rsidRPr="00B2542A" w:rsidRDefault="00B2542A" w:rsidP="00B2542A">
            <w:pPr>
              <w:spacing w:after="27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 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Расход теплоты, Вт/ Гкал/</w:t>
            </w:r>
            <w:proofErr w:type="spellStart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час,в</w:t>
            </w:r>
            <w:proofErr w:type="spellEnd"/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 xml:space="preserve"> том числе: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8 750 000/7,525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на отопление: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3 076 000/2,6453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А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970 000/0,8341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Б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620 000/0,5331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В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808 000/0,6949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lastRenderedPageBreak/>
              <w:t>— сектор Г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678 000/0,58308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на вентиляцию: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5 674 000/4.8796</w:t>
            </w:r>
            <w:r w:rsidRPr="00B2542A">
              <w:rPr>
                <w:rFonts w:ascii="Arial" w:eastAsia="Times New Roman" w:hAnsi="Arial" w:cs="Arial"/>
                <w:b/>
                <w:bCs/>
                <w:color w:val="999999"/>
                <w:sz w:val="26"/>
                <w:szCs w:val="26"/>
                <w:lang w:eastAsia="ru-RU"/>
              </w:rPr>
              <w:t> 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А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2 509 000/2,1577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Б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895 510/0,770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В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1 140 000/0,9804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Г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1 130 000/0,9718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Расход холода на комфортное кондиционирование (приточные установки), кВт: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717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А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433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Б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42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В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143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Г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115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Расход холода на комфортное кондиционирование (системы VRV), кВт: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2937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А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1406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Б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297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В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684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Г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476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Расход холода на технологическое кондиционирование, кВт: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637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А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230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Б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172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В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189</w:t>
            </w:r>
          </w:p>
        </w:tc>
      </w:tr>
      <w:tr w:rsidR="00B2542A" w:rsidRPr="00B2542A" w:rsidTr="00B2542A">
        <w:trPr>
          <w:tblCellSpacing w:w="0" w:type="dxa"/>
        </w:trPr>
        <w:tc>
          <w:tcPr>
            <w:tcW w:w="4260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— сектор Г</w:t>
            </w:r>
          </w:p>
        </w:tc>
        <w:tc>
          <w:tcPr>
            <w:tcW w:w="5025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FDFEFE"/>
            <w:hideMark/>
          </w:tcPr>
          <w:p w:rsidR="00B2542A" w:rsidRPr="00B2542A" w:rsidRDefault="00B2542A" w:rsidP="00B2542A">
            <w:pPr>
              <w:spacing w:after="0" w:line="315" w:lineRule="atLeast"/>
              <w:jc w:val="both"/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</w:pPr>
            <w:r w:rsidRPr="00B2542A">
              <w:rPr>
                <w:rFonts w:ascii="Arial" w:eastAsia="Times New Roman" w:hAnsi="Arial" w:cs="Arial"/>
                <w:color w:val="999999"/>
                <w:sz w:val="26"/>
                <w:szCs w:val="26"/>
                <w:lang w:eastAsia="ru-RU"/>
              </w:rPr>
              <w:t>85</w:t>
            </w:r>
          </w:p>
        </w:tc>
      </w:tr>
    </w:tbl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  <w:r w:rsidRPr="00B2542A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Вывод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Футбольные стадионы относятся к сложным инженерно-технологическим объектам и должны обеспечивать надежное и экономичное функционирование во всех режимах работы.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Инженерные системы должны отвечать критериям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энергоэффективного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, интеллектуального здания, сочетающего высокий уровень теплозащиты наружных ограждений с современными инженерно-технологическими решениями.</w:t>
      </w:r>
    </w:p>
    <w:p w:rsidR="00B2542A" w:rsidRPr="00B2542A" w:rsidRDefault="00B2542A" w:rsidP="00B2542A">
      <w:pPr>
        <w:shd w:val="clear" w:color="auto" w:fill="FDFEFE"/>
        <w:spacing w:after="270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r w:rsidRPr="00B2542A">
        <w:rPr>
          <w:rFonts w:ascii="Arial" w:eastAsia="Times New Roman" w:hAnsi="Arial" w:cs="Arial"/>
          <w:b/>
          <w:bCs/>
          <w:color w:val="000000"/>
          <w:sz w:val="26"/>
          <w:szCs w:val="26"/>
          <w:lang w:eastAsia="ru-RU"/>
        </w:rPr>
        <w:t> Литература</w:t>
      </w:r>
    </w:p>
    <w:p w:rsidR="00B2542A" w:rsidRPr="00B2542A" w:rsidRDefault="00B2542A" w:rsidP="00B2542A">
      <w:pPr>
        <w:numPr>
          <w:ilvl w:val="0"/>
          <w:numId w:val="10"/>
        </w:numPr>
        <w:shd w:val="clear" w:color="auto" w:fill="FDFEFE"/>
        <w:spacing w:before="180" w:after="100" w:afterAutospacing="1" w:line="285" w:lineRule="atLeast"/>
        <w:jc w:val="both"/>
        <w:rPr>
          <w:rFonts w:ascii="Arial" w:eastAsia="Times New Roman" w:hAnsi="Arial" w:cs="Arial"/>
          <w:color w:val="000000"/>
          <w:sz w:val="26"/>
          <w:szCs w:val="26"/>
          <w:lang w:eastAsia="ru-RU"/>
        </w:rPr>
      </w:pP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Гранев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В. В., Лейкина Д. К., </w:t>
      </w:r>
      <w:proofErr w:type="spellStart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Моторин</w:t>
      </w:r>
      <w:proofErr w:type="spellEnd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 xml:space="preserve"> В. В. Многофункциональные спортивные комплексы. Москва — 2011.</w:t>
      </w:r>
    </w:p>
    <w:p w:rsidR="00F07B99" w:rsidRDefault="00B2542A" w:rsidP="007B7066">
      <w:pPr>
        <w:numPr>
          <w:ilvl w:val="0"/>
          <w:numId w:val="10"/>
        </w:numPr>
        <w:shd w:val="clear" w:color="auto" w:fill="FDFEFE"/>
        <w:spacing w:before="180" w:after="270" w:afterAutospacing="1" w:line="285" w:lineRule="atLeast"/>
        <w:jc w:val="both"/>
      </w:pPr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Руководство по организации чемпионатов мира FIFA. Руководство по требованиям к стадионам (Инфраструктура и организация деятельности стадионов). Версия для чемпионата мира 2018.</w:t>
      </w:r>
      <w:bookmarkStart w:id="0" w:name="_GoBack"/>
      <w:bookmarkEnd w:id="0"/>
      <w:r w:rsidRPr="00B2542A">
        <w:rPr>
          <w:rFonts w:ascii="Arial" w:eastAsia="Times New Roman" w:hAnsi="Arial" w:cs="Arial"/>
          <w:color w:val="000000"/>
          <w:sz w:val="26"/>
          <w:szCs w:val="26"/>
          <w:lang w:eastAsia="ru-RU"/>
        </w:rPr>
        <w:t> </w:t>
      </w:r>
    </w:p>
    <w:sectPr w:rsidR="00F07B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512777"/>
    <w:multiLevelType w:val="multilevel"/>
    <w:tmpl w:val="945CF7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3905D2"/>
    <w:multiLevelType w:val="multilevel"/>
    <w:tmpl w:val="DAC2E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E7134ED"/>
    <w:multiLevelType w:val="multilevel"/>
    <w:tmpl w:val="283AB3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44AA6CB3"/>
    <w:multiLevelType w:val="multilevel"/>
    <w:tmpl w:val="97504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C076BEC"/>
    <w:multiLevelType w:val="multilevel"/>
    <w:tmpl w:val="35845F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DDC1BFE"/>
    <w:multiLevelType w:val="multilevel"/>
    <w:tmpl w:val="182A4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632309F5"/>
    <w:multiLevelType w:val="multilevel"/>
    <w:tmpl w:val="71B8261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89C65B9"/>
    <w:multiLevelType w:val="multilevel"/>
    <w:tmpl w:val="702239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76F3838"/>
    <w:multiLevelType w:val="multilevel"/>
    <w:tmpl w:val="E078E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EAE22D4"/>
    <w:multiLevelType w:val="multilevel"/>
    <w:tmpl w:val="955C6F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3"/>
  </w:num>
  <w:num w:numId="3">
    <w:abstractNumId w:val="6"/>
  </w:num>
  <w:num w:numId="4">
    <w:abstractNumId w:val="9"/>
  </w:num>
  <w:num w:numId="5">
    <w:abstractNumId w:val="0"/>
  </w:num>
  <w:num w:numId="6">
    <w:abstractNumId w:val="1"/>
  </w:num>
  <w:num w:numId="7">
    <w:abstractNumId w:val="5"/>
  </w:num>
  <w:num w:numId="8">
    <w:abstractNumId w:val="8"/>
  </w:num>
  <w:num w:numId="9">
    <w:abstractNumId w:val="4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878"/>
    <w:rsid w:val="00303878"/>
    <w:rsid w:val="00B2542A"/>
    <w:rsid w:val="00C32848"/>
    <w:rsid w:val="00C62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3572D"/>
  <w15:chartTrackingRefBased/>
  <w15:docId w15:val="{8F29EE43-CB6E-4133-A9AE-740E09E3EE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254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B2542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B254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B2542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775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1878</Words>
  <Characters>10708</Characters>
  <Application>Microsoft Office Word</Application>
  <DocSecurity>0</DocSecurity>
  <Lines>89</Lines>
  <Paragraphs>25</Paragraphs>
  <ScaleCrop>false</ScaleCrop>
  <Company/>
  <LinksUpToDate>false</LinksUpToDate>
  <CharactersWithSpaces>12561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 Колпакова (Руководитель ОП)</dc:creator>
  <cp:keywords/>
  <dc:description/>
  <cp:lastModifiedBy>Валентина Колпакова (Руководитель ОП)</cp:lastModifiedBy>
  <cp:revision>2</cp:revision>
  <dcterms:created xsi:type="dcterms:W3CDTF">2022-09-30T13:30:00Z</dcterms:created>
  <dcterms:modified xsi:type="dcterms:W3CDTF">2022-09-30T13:34:00Z</dcterms:modified>
</cp:coreProperties>
</file>